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SI-SAMU-GRAVITE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 niveau de soins : le plus grave est retenu pour qualifier le dossier/affaire. Pour chaque patient/victime, le motif spécifique est indiqué.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Code</w:t>
            </w:r>
          </w:p>
        </w:tc>
        <w:tc>
          <w:tcPr>
            <w:tcW w:type="dxa" w:w="1440"/>
          </w:tcPr>
          <w:p>
            <w:r>
              <w:t>Libellé niveau 1</w:t>
            </w:r>
          </w:p>
        </w:tc>
        <w:tc>
          <w:tcPr>
            <w:tcW w:type="dxa" w:w="1440"/>
          </w:tcPr>
          <w:p>
            <w:r>
              <w:t>Libellé niveau 2</w:t>
            </w:r>
          </w:p>
        </w:tc>
        <w:tc>
          <w:tcPr>
            <w:tcW w:type="dxa" w:w="1440"/>
          </w:tcPr>
          <w:p>
            <w:r>
              <w:t>Libellé niveau 3</w:t>
            </w:r>
          </w:p>
        </w:tc>
        <w:tc>
          <w:tcPr>
            <w:tcW w:type="dxa" w:w="1440"/>
          </w:tcPr>
          <w:p>
            <w:r>
              <w:t>Description</w:t>
            </w:r>
          </w:p>
        </w:tc>
        <w:tc>
          <w:tcPr>
            <w:tcW w:type="dxa" w:w="1440"/>
          </w:tcPr>
          <w:p>
            <w:r>
              <w:t>Commentaire</w:t>
            </w:r>
          </w:p>
        </w:tc>
      </w:tr>
      <w:tr>
        <w:tc>
          <w:tcPr>
            <w:tcW w:type="dxa" w:w="1440"/>
          </w:tcPr>
          <w:p>
            <w:r>
              <w:t>R1</w:t>
            </w:r>
          </w:p>
        </w:tc>
        <w:tc>
          <w:tcPr>
            <w:tcW w:type="dxa" w:w="1440"/>
          </w:tcPr>
          <w:p>
            <w:r>
              <w:t>Urgence Vitale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Urgence vitale patente ou latente imposant l’envoi du Smur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R2</w:t>
            </w:r>
          </w:p>
        </w:tc>
        <w:tc>
          <w:tcPr>
            <w:tcW w:type="dxa" w:w="1440"/>
          </w:tcPr>
          <w:p>
            <w:r>
              <w:t>Urgence vraie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Urgence vraie sans détresse vitale nécessitant l’envoi d’un médecin, d’une ambulance ou d’un VSAV. Le délai d’intervention est immédiat par défaut ou contractualisé entre le médecin régulateur et le requérant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R3</w:t>
            </w:r>
          </w:p>
        </w:tc>
        <w:tc>
          <w:tcPr>
            <w:tcW w:type="dxa" w:w="1440"/>
          </w:tcPr>
          <w:p>
            <w:r>
              <w:t>Continuité de soins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Situation relevant de la continuité de soins. Le délai ne constituant pas un facteur de risque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R4</w:t>
            </w:r>
          </w:p>
        </w:tc>
        <w:tc>
          <w:tcPr>
            <w:tcW w:type="dxa" w:w="1440"/>
          </w:tcPr>
          <w:p>
            <w:r>
              <w:t>Conseil ou PMT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Situation pouvant être traitée par un conseil médical ou prescription médicamenteuse par téléphone</w:t>
            </w:r>
          </w:p>
        </w:tc>
        <w:tc>
          <w:tcPr>
            <w:tcW w:type="dxa" w:w="144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321A7F-9734-4ECE-8D51-398F022F6737}"/>
</file>

<file path=customXml/itemProps3.xml><?xml version="1.0" encoding="utf-8"?>
<ds:datastoreItem xmlns:ds="http://schemas.openxmlformats.org/officeDocument/2006/customXml" ds:itemID="{B69E0303-247D-4AE7-A5D6-CB074B843D7B}"/>
</file>

<file path=customXml/itemProps4.xml><?xml version="1.0" encoding="utf-8"?>
<ds:datastoreItem xmlns:ds="http://schemas.openxmlformats.org/officeDocument/2006/customXml" ds:itemID="{EB44DB98-003B-466B-AD76-A9716399B49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